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firstLine="157" w:firstLineChars="49"/>
        <w:jc w:val="center"/>
        <w:outlineLvl w:val="2"/>
        <w:rPr>
          <w:rFonts w:ascii="Verdana" w:hAnsi="Verdana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ascii="Verdana" w:hAnsi="Verdana" w:eastAsia="宋体" w:cs="宋体"/>
          <w:b/>
          <w:bCs/>
          <w:color w:val="000000"/>
          <w:kern w:val="0"/>
          <w:sz w:val="32"/>
          <w:szCs w:val="32"/>
        </w:rPr>
        <w:t>关于办理202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32"/>
          <w:szCs w:val="32"/>
        </w:rPr>
        <w:t>2</w:t>
      </w:r>
      <w:r>
        <w:rPr>
          <w:rFonts w:ascii="Verdana" w:hAnsi="Verdana" w:eastAsia="宋体" w:cs="宋体"/>
          <w:b/>
          <w:bCs/>
          <w:color w:val="000000"/>
          <w:kern w:val="0"/>
          <w:sz w:val="32"/>
          <w:szCs w:val="32"/>
        </w:rPr>
        <w:t>年度个人所得税综合所得</w:t>
      </w:r>
    </w:p>
    <w:p>
      <w:pPr>
        <w:widowControl/>
        <w:shd w:val="clear" w:color="auto" w:fill="FFFFFF"/>
        <w:spacing w:line="600" w:lineRule="atLeast"/>
        <w:ind w:firstLine="157" w:firstLineChars="49"/>
        <w:jc w:val="center"/>
        <w:outlineLvl w:val="2"/>
        <w:rPr>
          <w:rFonts w:ascii="Verdana" w:hAnsi="Verdana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ascii="Verdana" w:hAnsi="Verdana" w:eastAsia="宋体" w:cs="宋体"/>
          <w:b/>
          <w:bCs/>
          <w:color w:val="000000"/>
          <w:kern w:val="0"/>
          <w:sz w:val="32"/>
          <w:szCs w:val="32"/>
        </w:rPr>
        <w:t>汇算清缴的通知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各位老师：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根据《国家税务总局关于办理202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年度个人所得税综合所得汇算清缴事项的公告》（国家税务总局公告202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3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年第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3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号）规定，202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年度个人所得税综合所得汇算清缴办理的时间为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24"/>
          <w:szCs w:val="24"/>
        </w:rPr>
        <w:t>3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年3月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1日至6月30日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，现将有关注意事项提示如下：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 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一、年度汇算的内容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年度结束后，居民个人（以下称纳税人）需要汇总202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年1月1日至12月31日（以下称纳税年度）取得的工资薪金、劳务报酬、稿酬、特许权使用费等四项所得的收入总额。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 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二、无需办理年度汇算的情形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纳税人在纳税年度内已依法预缴个人所得税且符合下列情形之一的，无需办理年度汇算：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（一）年度汇算需补税但综合所得收入全年不超过12万元的；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（二）年度汇算需补税金额不超过400元的；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（三）符合年度汇算退税条件但不申请退税的。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 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三、需要办理年度汇算的情形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符合下列情形之一的，纳税人需办理年度汇算：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（一）已预缴税额大于年度汇算应纳税额且申请退税的；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（二）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2022年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取得的综合所得收入超过12万元且需要补税金额超过400元的。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 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四、可享受的税前扣除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下列在202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年度发生的税前扣除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，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纳税人可在汇算期间填报或补充扣除：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（一）纳税人及其配偶、未成年子女符合扣除条件的大病医疗支出；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（二）符合条件的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3岁以下婴幼儿照护、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子女教育、继续教育、住房贷款利息或住房租金、赡养老人等专项附加扣除，以及减除费用、专项扣除、依法确定的其他扣除；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（三）纳税人符合条件的公益慈善事业捐赠。</w:t>
      </w:r>
    </w:p>
    <w:p>
      <w:pPr>
        <w:widowControl/>
        <w:shd w:val="clear" w:color="auto" w:fill="FFFFFF"/>
        <w:spacing w:line="375" w:lineRule="atLeast"/>
        <w:ind w:firstLine="480" w:firstLineChars="200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（四）符合条件的个人养老金扣除。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ascii="Verdana" w:hAnsi="Verdana" w:eastAsia="宋体" w:cs="宋体"/>
          <w:color w:val="000000"/>
          <w:kern w:val="0"/>
          <w:szCs w:val="21"/>
        </w:rPr>
        <w:t>       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五、特别提示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（一）确保专项附加扣除信息准确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1.相关信息是否准确。包括子女升学就读信息、住房贷款、继续教育信息、住房租金扣除、赡养老人扣除等扣除人或比例发生变化需修改的信息。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2.亲属身份信息是否准确。包括子女、配偶、老人、兄弟姐妹身份证件号码、姓名等信息，是否准确。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 上述两项如有误，请通过APP——办税——专项附加扣除修改和作废模块，选择202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年度进行修改。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（二）填报202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年度个人所得税汇算清缴报表时，如有全年一次性奖金收入是选择“单一计税”还是“合并计税”，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可在</w:t>
      </w:r>
      <w:r>
        <w:rPr>
          <w:rFonts w:ascii="Verdana" w:hAnsi="Verdana" w:eastAsia="宋体" w:cs="宋体"/>
          <w:b/>
          <w:bCs/>
          <w:color w:val="FF0000"/>
          <w:kern w:val="0"/>
          <w:sz w:val="24"/>
          <w:szCs w:val="24"/>
        </w:rPr>
        <w:t>未正式提交报表前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通过APP试算两种方式，个人比较结果后，自己选择一种合适的汇算方式，再进行提交</w:t>
      </w:r>
      <w:r>
        <w:rPr>
          <w:rFonts w:hint="eastAsia" w:ascii="Verdana" w:hAnsi="Verdana" w:eastAsia="宋体" w:cs="宋体"/>
          <w:b/>
          <w:bCs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（三）系统查询页面中的“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批量申诉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”和“</w:t>
      </w:r>
      <w:r>
        <w:rPr>
          <w:rFonts w:ascii="Verdana" w:hAnsi="Verdana" w:eastAsia="宋体" w:cs="宋体"/>
          <w:b/>
          <w:bCs/>
          <w:color w:val="000000"/>
          <w:kern w:val="0"/>
          <w:sz w:val="24"/>
          <w:szCs w:val="24"/>
        </w:rPr>
        <w:t>申诉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”不能进行个人所得税汇算清缴退(补)税款，</w:t>
      </w:r>
      <w:r>
        <w:rPr>
          <w:rFonts w:ascii="Verdana" w:hAnsi="Verdana" w:eastAsia="宋体" w:cs="宋体"/>
          <w:b/>
          <w:bCs/>
          <w:color w:val="FF0000"/>
          <w:kern w:val="0"/>
          <w:sz w:val="24"/>
          <w:szCs w:val="24"/>
        </w:rPr>
        <w:t>务必谨慎点击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；否则会造成不必要的修改处理上的困扰，无法顺利退（补）税。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（四）居民个人取得境外所得的，需要本人持身份证到税务局办税服务厅现场办理。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    （五）可直接登录手机个人所得税A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PP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或网页端办理汇算。</w:t>
      </w:r>
    </w:p>
    <w:p>
      <w:pPr>
        <w:widowControl/>
        <w:numPr>
          <w:numId w:val="0"/>
        </w:numPr>
        <w:shd w:val="clear" w:color="auto" w:fill="FFFFFF"/>
        <w:spacing w:line="375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  <w:lang w:val="en-US" w:eastAsia="zh-CN"/>
        </w:rPr>
        <w:t>六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）如有疑问，可联系财务处朱玲老师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。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咨询电话：0551-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64208812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75" w:lineRule="atLeast"/>
        <w:ind w:firstLine="720" w:firstLineChars="300"/>
        <w:jc w:val="left"/>
        <w:rPr>
          <w:rFonts w:hint="eastAsia" w:ascii="Verdana" w:hAnsi="Verdana" w:eastAsia="宋体" w:cs="宋体"/>
          <w:color w:val="C00000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75" w:lineRule="atLeast"/>
        <w:ind w:firstLine="720" w:firstLineChars="300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C00000"/>
          <w:kern w:val="0"/>
          <w:sz w:val="24"/>
          <w:szCs w:val="24"/>
          <w:lang w:val="en-US" w:eastAsia="zh-CN"/>
        </w:rPr>
        <w:t>附：个人所得税专项扣除及</w:t>
      </w:r>
      <w:r>
        <w:rPr>
          <w:rFonts w:ascii="Verdana" w:hAnsi="Verdana" w:eastAsia="宋体" w:cs="宋体"/>
          <w:color w:val="C00000"/>
          <w:kern w:val="0"/>
          <w:sz w:val="24"/>
          <w:szCs w:val="24"/>
        </w:rPr>
        <w:t>综合所得适用税率</w:t>
      </w:r>
      <w:r>
        <w:rPr>
          <w:rFonts w:hint="eastAsia" w:ascii="Verdana" w:hAnsi="Verdana" w:eastAsia="宋体" w:cs="宋体"/>
          <w:color w:val="C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75" w:lineRule="atLeast"/>
        <w:jc w:val="left"/>
        <w:rPr>
          <w:rFonts w:hint="default" w:ascii="Verdana" w:hAnsi="Verdana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Verdana" w:hAnsi="Verdana" w:eastAsia="宋体" w:cs="宋体"/>
          <w:color w:val="000000"/>
          <w:kern w:val="0"/>
          <w:sz w:val="22"/>
          <w:szCs w:val="22"/>
          <w:lang w:val="en-US" w:eastAsia="zh-CN"/>
        </w:rPr>
        <w:t>https://mp.weixin.qq.com/s/ul9pFUlMOBMJ-1VG19X2Pw</w:t>
      </w:r>
    </w:p>
    <w:p>
      <w:pPr>
        <w:widowControl/>
        <w:shd w:val="clear" w:color="auto" w:fill="FFFFFF"/>
        <w:spacing w:line="375" w:lineRule="atLeast"/>
        <w:ind w:left="6960" w:hanging="6960" w:hangingChars="2900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4"/>
          <w:szCs w:val="24"/>
        </w:rPr>
        <w:t xml:space="preserve">                                                                  </w:t>
      </w:r>
    </w:p>
    <w:p>
      <w:pPr>
        <w:widowControl/>
        <w:shd w:val="clear" w:color="auto" w:fill="FFFFFF"/>
        <w:spacing w:line="375" w:lineRule="atLeast"/>
        <w:ind w:left="8104" w:leftChars="3059" w:hanging="1680" w:hangingChars="600"/>
        <w:jc w:val="left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Verdana" w:hAnsi="Verdana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Verdana" w:hAnsi="Verdana" w:eastAsia="宋体" w:cs="宋体"/>
          <w:color w:val="000000"/>
          <w:kern w:val="0"/>
          <w:sz w:val="28"/>
          <w:szCs w:val="28"/>
        </w:rPr>
        <w:t>财务处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color w:val="000000"/>
          <w:kern w:val="0"/>
          <w:sz w:val="28"/>
          <w:szCs w:val="28"/>
        </w:rPr>
        <w:t xml:space="preserve">                                                </w:t>
      </w:r>
      <w:r>
        <w:rPr>
          <w:rFonts w:hint="eastAsia" w:ascii="Verdana" w:hAnsi="Verdana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Verdana" w:hAnsi="Verdana" w:eastAsia="宋体" w:cs="宋体"/>
          <w:color w:val="000000"/>
          <w:kern w:val="0"/>
          <w:sz w:val="28"/>
          <w:szCs w:val="28"/>
        </w:rPr>
        <w:t> 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 202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3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年3月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20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1OTI0Nzc2ZjVlY2JjODQxNjJkZjcxMDk0NmQ0MmQifQ=="/>
  </w:docVars>
  <w:rsids>
    <w:rsidRoot w:val="003E347C"/>
    <w:rsid w:val="0002745B"/>
    <w:rsid w:val="0031143F"/>
    <w:rsid w:val="003E347C"/>
    <w:rsid w:val="0073580A"/>
    <w:rsid w:val="007A3A4E"/>
    <w:rsid w:val="0084032E"/>
    <w:rsid w:val="00864C96"/>
    <w:rsid w:val="00D06E8F"/>
    <w:rsid w:val="00EB0E2A"/>
    <w:rsid w:val="010A29DC"/>
    <w:rsid w:val="100F7CDC"/>
    <w:rsid w:val="29524EF6"/>
    <w:rsid w:val="769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wp_visitcou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1066</Words>
  <Characters>1184</Characters>
  <Lines>10</Lines>
  <Paragraphs>2</Paragraphs>
  <TotalTime>3</TotalTime>
  <ScaleCrop>false</ScaleCrop>
  <LinksUpToDate>false</LinksUpToDate>
  <CharactersWithSpaces>1461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2022-05-12T01:07:00Z</dcterms:created>
  <dc:creator>da</dc:creator>
  <cp:lastModifiedBy>momo</cp:lastModifiedBy>
  <dcterms:modified xsi:type="dcterms:W3CDTF">2023-03-20T03:18:12Z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9503501CA6D64B5A96480BBCB1B5BFB1</vt:lpwstr>
  </property>
</Properties>
</file>